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856547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</w:rPr>
      </w:pPr>
      <w:bookmarkStart w:id="0" w:name="_Ref494968963"/>
    </w:p>
    <w:bookmarkEnd w:id="0"/>
    <w:p w14:paraId="18E8781F" w14:textId="77777777" w:rsidR="002B4BB6" w:rsidRPr="00856547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569628A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384EF2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856547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856547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334C9E" w:rsidRPr="00856547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334C9E" w:rsidRPr="00856547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856547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="00563B2B" w:rsidRPr="00856547">
              <w:tab/>
            </w:r>
          </w:p>
        </w:tc>
      </w:tr>
      <w:tr w:rsidR="00AD4FD2" w:rsidRPr="00856547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01F78E6" w:rsidR="00AD4FD2" w:rsidRPr="00856547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856547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076DCCF" w:rsidR="00AD4FD2" w:rsidRPr="00856547" w:rsidRDefault="006D1ED9" w:rsidP="00AD4FD2">
            <w:pPr>
              <w:spacing w:before="120" w:after="120"/>
              <w:jc w:val="both"/>
            </w:pPr>
            <w:r w:rsidRPr="00856547">
              <w:rPr>
                <w:i/>
              </w:rPr>
              <w:t xml:space="preserve">Miestna akčná skupina Rajecká dolina </w:t>
            </w:r>
          </w:p>
        </w:tc>
      </w:tr>
      <w:tr w:rsidR="00AD4FD2" w:rsidRPr="00856547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  <w:r w:rsidRPr="00856547">
              <w:rPr>
                <w:b/>
                <w:vertAlign w:val="superscript"/>
              </w:rPr>
              <w:fldChar w:fldCharType="begin"/>
            </w:r>
            <w:r w:rsidRPr="00856547">
              <w:rPr>
                <w:b/>
                <w:vertAlign w:val="superscript"/>
              </w:rPr>
              <w:instrText xml:space="preserve"> NOTEREF _Ref496436595 \h  \* MERGEFORMAT </w:instrText>
            </w:r>
            <w:r w:rsidRPr="00856547">
              <w:rPr>
                <w:b/>
                <w:vertAlign w:val="superscript"/>
              </w:rPr>
            </w:r>
            <w:r w:rsidRPr="00856547">
              <w:rPr>
                <w:b/>
                <w:vertAlign w:val="superscript"/>
              </w:rPr>
              <w:fldChar w:fldCharType="separate"/>
            </w:r>
            <w:r w:rsidRPr="00856547">
              <w:rPr>
                <w:b/>
                <w:vertAlign w:val="superscript"/>
              </w:rPr>
              <w:t>2</w:t>
            </w:r>
            <w:r w:rsidRPr="00856547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522837" w:rsidR="00AD4FD2" w:rsidRPr="00856547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856547" w:rsidRDefault="00AD4FD2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tbl>
      <w:tblPr>
        <w:tblW w:w="47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2184"/>
        <w:gridCol w:w="4833"/>
        <w:gridCol w:w="1273"/>
        <w:gridCol w:w="1276"/>
        <w:gridCol w:w="4359"/>
      </w:tblGrid>
      <w:tr w:rsidR="00743206" w:rsidRPr="00856547" w14:paraId="4D64E48A" w14:textId="77777777" w:rsidTr="00743206">
        <w:trPr>
          <w:trHeight w:val="413"/>
          <w:tblHeader/>
        </w:trPr>
        <w:tc>
          <w:tcPr>
            <w:tcW w:w="275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0861626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proofErr w:type="spellStart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lastRenderedPageBreak/>
              <w:t>P.č</w:t>
            </w:r>
            <w:proofErr w:type="spellEnd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30C6DD9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EDEE097" w14:textId="77777777" w:rsidR="00163106" w:rsidRPr="00856547" w:rsidRDefault="00163106" w:rsidP="005000A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75B067D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14D4C9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C33E1A8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163106" w:rsidRPr="00856547" w14:paraId="14F0DF5D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32A05B4C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4CDB524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743206" w:rsidRPr="00856547" w14:paraId="08A9D992" w14:textId="77777777" w:rsidTr="00743206">
        <w:trPr>
          <w:trHeight w:val="899"/>
        </w:trPr>
        <w:tc>
          <w:tcPr>
            <w:tcW w:w="275" w:type="pct"/>
            <w:vMerge w:val="restart"/>
            <w:vAlign w:val="center"/>
          </w:tcPr>
          <w:p w14:paraId="77B5BD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vAlign w:val="center"/>
          </w:tcPr>
          <w:p w14:paraId="123901A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640" w:type="pct"/>
            <w:vMerge w:val="restart"/>
            <w:vAlign w:val="center"/>
          </w:tcPr>
          <w:p w14:paraId="30019C8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súlad s:</w:t>
            </w:r>
          </w:p>
          <w:p w14:paraId="48DE51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F94F4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očakávanými výsledkami,</w:t>
            </w:r>
          </w:p>
          <w:p w14:paraId="5E64403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definovanými oprávnenými aktivitami.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70193B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228CC3BA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D3D6D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743206" w:rsidRPr="00856547" w14:paraId="34BA068C" w14:textId="77777777" w:rsidTr="00743206">
        <w:trPr>
          <w:trHeight w:val="706"/>
        </w:trPr>
        <w:tc>
          <w:tcPr>
            <w:tcW w:w="275" w:type="pct"/>
            <w:vMerge/>
            <w:vAlign w:val="center"/>
          </w:tcPr>
          <w:p w14:paraId="770C5AD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300557F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580CC7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7D3EC3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BD27EEB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55BFB0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743206" w:rsidRPr="00856547" w14:paraId="6EAD6DAB" w14:textId="77777777" w:rsidTr="00743206">
        <w:trPr>
          <w:trHeight w:val="123"/>
        </w:trPr>
        <w:tc>
          <w:tcPr>
            <w:tcW w:w="275" w:type="pct"/>
            <w:vMerge w:val="restart"/>
            <w:vAlign w:val="center"/>
          </w:tcPr>
          <w:p w14:paraId="5F99FBE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vAlign w:val="center"/>
          </w:tcPr>
          <w:p w14:paraId="3160CA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640" w:type="pct"/>
            <w:vMerge w:val="restart"/>
            <w:vAlign w:val="center"/>
          </w:tcPr>
          <w:p w14:paraId="69442E5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77B39E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40D9F94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53C203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743206" w:rsidRPr="00856547" w14:paraId="2BD7B6EA" w14:textId="77777777" w:rsidTr="00743206">
        <w:trPr>
          <w:trHeight w:val="407"/>
        </w:trPr>
        <w:tc>
          <w:tcPr>
            <w:tcW w:w="275" w:type="pct"/>
            <w:vMerge/>
            <w:vAlign w:val="center"/>
          </w:tcPr>
          <w:p w14:paraId="0E552B1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462CF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DBE1EB1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1AC15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1C4F88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C8029F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743206" w:rsidRPr="00856547" w14:paraId="0A46EFA0" w14:textId="77777777" w:rsidTr="00743206">
        <w:trPr>
          <w:trHeight w:val="755"/>
        </w:trPr>
        <w:tc>
          <w:tcPr>
            <w:tcW w:w="275" w:type="pct"/>
            <w:vMerge w:val="restart"/>
            <w:vAlign w:val="center"/>
          </w:tcPr>
          <w:p w14:paraId="0D90E6F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741" w:type="pct"/>
            <w:vMerge w:val="restart"/>
            <w:vAlign w:val="center"/>
          </w:tcPr>
          <w:p w14:paraId="0AF9F8F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640" w:type="pct"/>
            <w:vMerge w:val="restart"/>
            <w:vAlign w:val="center"/>
          </w:tcPr>
          <w:p w14:paraId="32D0BDA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32" w:type="pct"/>
            <w:vMerge w:val="restart"/>
            <w:vAlign w:val="center"/>
          </w:tcPr>
          <w:p w14:paraId="0D09543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39EF941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vAlign w:val="center"/>
          </w:tcPr>
          <w:p w14:paraId="3710603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3206" w:rsidRPr="00856547" w14:paraId="06AFFAAA" w14:textId="77777777" w:rsidTr="00743206">
        <w:trPr>
          <w:trHeight w:val="650"/>
        </w:trPr>
        <w:tc>
          <w:tcPr>
            <w:tcW w:w="275" w:type="pct"/>
            <w:vMerge/>
            <w:vAlign w:val="center"/>
          </w:tcPr>
          <w:p w14:paraId="5E638C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2C23B04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02E77BF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1B4C0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E3912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7E831B0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CA4765" w:rsidRPr="00856547" w14:paraId="237F1734" w14:textId="77777777" w:rsidTr="00743206">
        <w:trPr>
          <w:trHeight w:val="231"/>
        </w:trPr>
        <w:tc>
          <w:tcPr>
            <w:tcW w:w="275" w:type="pct"/>
            <w:vMerge w:val="restart"/>
            <w:vAlign w:val="center"/>
          </w:tcPr>
          <w:p w14:paraId="283004A1" w14:textId="77777777" w:rsidR="00CA4765" w:rsidRPr="00856547" w:rsidRDefault="00CA4765" w:rsidP="00CA476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vAlign w:val="center"/>
          </w:tcPr>
          <w:p w14:paraId="552E6928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3A6EA65F" w14:textId="388ED7C8" w:rsidR="00CA4765" w:rsidRPr="00856547" w:rsidRDefault="00CA4765" w:rsidP="00CA4765">
            <w:pPr>
              <w:spacing w:after="0" w:line="256" w:lineRule="auto"/>
              <w:contextualSpacing/>
              <w:rPr>
                <w:rFonts w:cs="Arial"/>
                <w:sz w:val="16"/>
                <w:szCs w:val="16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žiadateľ vytvorí minimálne 0,5 úväzkové pracovné miesto FTE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.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1F16540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64C620D0" w14:textId="77777777" w:rsidR="00CA4765" w:rsidRPr="00856547" w:rsidRDefault="00CA4765" w:rsidP="00CA476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84ECB01" w14:textId="77777777" w:rsidR="00CA4765" w:rsidRPr="00CA4765" w:rsidRDefault="00CA4765" w:rsidP="00C14601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CA4765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Žiadateľ sa zaviazal vytvoriť minimálne 0,5 úväzkové pracovné miesto FTE. </w:t>
            </w:r>
          </w:p>
          <w:p w14:paraId="6F4E6DCF" w14:textId="77777777" w:rsidR="00CA4765" w:rsidRDefault="00CA4765" w:rsidP="00C14601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CA4765">
              <w:rPr>
                <w:rFonts w:cs="Arial"/>
                <w:color w:val="000000"/>
                <w:sz w:val="20"/>
                <w:szCs w:val="20"/>
                <w:lang w:eastAsia="sk-SK"/>
              </w:rPr>
              <w:t>Pracovné miesto musí byť udržateľné minimálne 3 roky od finančného ukončenia projektu.</w:t>
            </w:r>
            <w:r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0D918A9B" w14:textId="299217B7" w:rsidR="00CA4765" w:rsidRPr="00CA4765" w:rsidRDefault="00CA4765" w:rsidP="00C146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CA4765" w:rsidRPr="00856547" w14:paraId="5247D8C2" w14:textId="77777777" w:rsidTr="00743206">
        <w:trPr>
          <w:trHeight w:val="122"/>
        </w:trPr>
        <w:tc>
          <w:tcPr>
            <w:tcW w:w="275" w:type="pct"/>
            <w:vMerge/>
            <w:vAlign w:val="center"/>
          </w:tcPr>
          <w:p w14:paraId="5DA9F6E3" w14:textId="77777777" w:rsidR="00CA4765" w:rsidRPr="00856547" w:rsidRDefault="00CA4765" w:rsidP="00CA476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C7149DD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12B969B" w14:textId="77777777" w:rsidR="00CA4765" w:rsidRPr="00856547" w:rsidRDefault="00CA4765" w:rsidP="00CA4765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003D5A55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CBF0DD3" w14:textId="77777777" w:rsidR="00CA4765" w:rsidRPr="00856547" w:rsidRDefault="00CA4765" w:rsidP="00CA476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55BE1C" w14:textId="77777777" w:rsidR="00CA4765" w:rsidRDefault="00CA4765" w:rsidP="00CA4765">
            <w:pPr>
              <w:spacing w:after="0" w:line="240" w:lineRule="auto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CA4765">
              <w:rPr>
                <w:rFonts w:cs="Arial"/>
                <w:color w:val="000000" w:themeColor="text1"/>
                <w:sz w:val="20"/>
                <w:szCs w:val="20"/>
              </w:rPr>
              <w:t xml:space="preserve">Žiadateľ sa nezaviazal vytvoriť minimálne 0,5 úväzkové pracovné miesto FTE.  </w:t>
            </w:r>
          </w:p>
          <w:p w14:paraId="17848750" w14:textId="52BD2ED4" w:rsidR="00CA4765" w:rsidRPr="00CA4765" w:rsidRDefault="00CA4765" w:rsidP="00CA47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43206" w:rsidRPr="00856547" w14:paraId="34A477E2" w14:textId="77777777" w:rsidTr="00856547">
        <w:trPr>
          <w:trHeight w:val="429"/>
        </w:trPr>
        <w:tc>
          <w:tcPr>
            <w:tcW w:w="275" w:type="pct"/>
            <w:vMerge w:val="restart"/>
            <w:vAlign w:val="center"/>
          </w:tcPr>
          <w:p w14:paraId="29537C5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741" w:type="pct"/>
            <w:vMerge w:val="restart"/>
            <w:vAlign w:val="center"/>
          </w:tcPr>
          <w:p w14:paraId="0D17E461" w14:textId="64A64225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68A10A45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56547">
              <w:rPr>
                <w:rFonts w:cs="Arial"/>
                <w:i/>
                <w:sz w:val="20"/>
                <w:szCs w:val="20"/>
                <w:lang w:eastAsia="sk-SK"/>
              </w:rPr>
              <w:t>Počet vytvorených pracovných miest.</w:t>
            </w:r>
          </w:p>
        </w:tc>
        <w:tc>
          <w:tcPr>
            <w:tcW w:w="432" w:type="pct"/>
            <w:vMerge w:val="restart"/>
            <w:vAlign w:val="center"/>
          </w:tcPr>
          <w:p w14:paraId="0513F04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68F5513E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263AB0FC" w14:textId="3EBA6AE2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rovná alebo vyššia ako </w:t>
            </w:r>
            <w:r w:rsidR="00AB120B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 100 </w:t>
            </w: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5C4AC6CD" w14:textId="77777777" w:rsidTr="00856547">
        <w:trPr>
          <w:trHeight w:val="554"/>
        </w:trPr>
        <w:tc>
          <w:tcPr>
            <w:tcW w:w="275" w:type="pct"/>
            <w:vMerge/>
            <w:vAlign w:val="center"/>
          </w:tcPr>
          <w:p w14:paraId="2497E5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255EF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5E46C56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071D1EB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032F6B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4D374479" w14:textId="620977A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nižšia ako </w:t>
            </w:r>
            <w:r w:rsidR="00AB120B">
              <w:rPr>
                <w:rFonts w:cs="Arial"/>
                <w:color w:val="000000"/>
                <w:sz w:val="20"/>
                <w:szCs w:val="20"/>
                <w:lang w:eastAsia="sk-SK"/>
              </w:rPr>
              <w:t>100</w:t>
            </w:r>
            <w:r w:rsidR="00AB120B"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 </w:t>
            </w: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000 EUR a rovná alebo vyššia ako </w:t>
            </w:r>
            <w:r w:rsidR="00AB120B">
              <w:rPr>
                <w:rFonts w:cs="Arial"/>
                <w:color w:val="000000"/>
                <w:sz w:val="20"/>
                <w:szCs w:val="20"/>
                <w:lang w:eastAsia="sk-SK"/>
              </w:rPr>
              <w:t>50</w:t>
            </w:r>
            <w:r w:rsidR="00AB120B"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 </w:t>
            </w: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27FF5BF4" w14:textId="77777777" w:rsidTr="00743206">
        <w:trPr>
          <w:trHeight w:val="287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3BB9861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5759A4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25133545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vAlign w:val="center"/>
          </w:tcPr>
          <w:p w14:paraId="6CEF5C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5C7076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vAlign w:val="center"/>
          </w:tcPr>
          <w:p w14:paraId="2F749EDD" w14:textId="2041177E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nižšia ako </w:t>
            </w:r>
            <w:r w:rsidR="00AB120B">
              <w:rPr>
                <w:rFonts w:cs="Arial"/>
                <w:color w:val="000000"/>
                <w:sz w:val="20"/>
                <w:szCs w:val="20"/>
                <w:lang w:eastAsia="sk-SK"/>
              </w:rPr>
              <w:t>50</w:t>
            </w:r>
            <w:r w:rsidR="00AB120B"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 </w:t>
            </w: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2F1D2F9B" w14:textId="77777777" w:rsidTr="00856547">
        <w:trPr>
          <w:trHeight w:val="190"/>
        </w:trPr>
        <w:tc>
          <w:tcPr>
            <w:tcW w:w="275" w:type="pct"/>
            <w:vMerge w:val="restart"/>
            <w:vAlign w:val="center"/>
          </w:tcPr>
          <w:p w14:paraId="0A77670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vAlign w:val="center"/>
          </w:tcPr>
          <w:p w14:paraId="1A76A120" w14:textId="59447456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640" w:type="pct"/>
            <w:vMerge w:val="restart"/>
            <w:vAlign w:val="center"/>
          </w:tcPr>
          <w:p w14:paraId="058374E5" w14:textId="322FDA7D" w:rsidR="00163106" w:rsidRPr="00856547" w:rsidRDefault="00163106" w:rsidP="008565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F5036E" w14:textId="060F60F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33" w:type="pct"/>
            <w:vAlign w:val="center"/>
          </w:tcPr>
          <w:p w14:paraId="4B0FE83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479" w:type="pct"/>
          </w:tcPr>
          <w:p w14:paraId="3C4B483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3206" w:rsidRPr="00856547" w14:paraId="22F5A53B" w14:textId="77777777" w:rsidTr="00856547">
        <w:trPr>
          <w:trHeight w:val="285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0DB822C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6C1BF5F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07B85A0E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66383A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57BA0FD8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</w:tcPr>
          <w:p w14:paraId="17FEBF17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 xml:space="preserve">Projekt nemá dostatočnú úroveň z hľadiska zabezpečenia komplexnosti služieb v území alebo z hľadiska jeho využiteľnosti, projekt má skôr </w:t>
            </w:r>
            <w:r w:rsidRPr="00856547">
              <w:rPr>
                <w:rFonts w:cs="Arial"/>
                <w:sz w:val="20"/>
                <w:szCs w:val="20"/>
              </w:rPr>
              <w:lastRenderedPageBreak/>
              <w:t>čiastkový charakter a nie je možné pomenovať jeho reálny dopad na územie a ciele stratégie.</w:t>
            </w:r>
          </w:p>
        </w:tc>
      </w:tr>
      <w:tr w:rsidR="00743206" w:rsidRPr="00856547" w14:paraId="0B17602B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4D0940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lastRenderedPageBreak/>
              <w:t>7.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C01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90C9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15907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AF5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78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3206" w:rsidRPr="00856547" w14:paraId="3DB61AD7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1039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EFD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4F8D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B174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93AC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71C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256A290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E30706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8. 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546E56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9DA6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D1A68" w14:textId="77777777" w:rsidR="00163106" w:rsidRPr="00856547" w:rsidRDefault="00163106" w:rsidP="001B15F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D1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856547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9D7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743206" w:rsidRPr="00856547" w14:paraId="7247F7F3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76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DA663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F9C2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607E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938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5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743206" w:rsidRPr="00856547" w14:paraId="6FF4E56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17C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CA90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D177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9BA0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30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BC6" w14:textId="06371BBD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Projekt má prínos pre </w:t>
            </w:r>
            <w:r w:rsidR="0081620F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štyri</w:t>
            </w: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a viac obcí na území MAS.</w:t>
            </w:r>
          </w:p>
        </w:tc>
      </w:tr>
      <w:tr w:rsidR="00743206" w:rsidRPr="00856547" w14:paraId="0F6F729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1147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95FA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07DEE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FF8EE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9D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B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743206" w:rsidRPr="00856547" w14:paraId="3A94A4AE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FF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F9E5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9F9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2763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9E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24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743206" w:rsidRPr="00856547" w14:paraId="0063F6E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E8B8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C0F4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361E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084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80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15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743206" w:rsidRPr="00856547" w14:paraId="10AAB3F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2DD8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911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54A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37D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183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F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743206" w:rsidRPr="00856547" w14:paraId="03703B4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C6677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B2A2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E444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F5E7E1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3716E19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prípade, ak hodnotiteľ dospeje k záveru, že plánovaná hodnota nie je reálna túto hodnotu zníži.</w:t>
            </w:r>
          </w:p>
          <w:p w14:paraId="03DA078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5E60529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V prípade zníženia na nulu, </w:t>
            </w:r>
            <w:proofErr w:type="spellStart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4D1E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748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1E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nepredstaví nový výrobok pre firmu.</w:t>
            </w:r>
          </w:p>
        </w:tc>
      </w:tr>
      <w:tr w:rsidR="00743206" w:rsidRPr="00856547" w14:paraId="25876AB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8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E451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D75B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90E8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FE56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8FE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F9C2F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predstaví nový výrobok pre firmu</w:t>
            </w:r>
          </w:p>
        </w:tc>
      </w:tr>
      <w:tr w:rsidR="00163106" w:rsidRPr="00856547" w14:paraId="51E018C2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571534A2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639122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743206" w:rsidRPr="00856547" w14:paraId="20E442DF" w14:textId="77777777" w:rsidTr="00856547">
        <w:trPr>
          <w:trHeight w:val="359"/>
        </w:trPr>
        <w:tc>
          <w:tcPr>
            <w:tcW w:w="275" w:type="pct"/>
            <w:vMerge w:val="restart"/>
            <w:vAlign w:val="center"/>
          </w:tcPr>
          <w:p w14:paraId="1D22B58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741" w:type="pct"/>
            <w:vMerge w:val="restart"/>
            <w:vAlign w:val="center"/>
          </w:tcPr>
          <w:p w14:paraId="579BAB5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40" w:type="pct"/>
            <w:vMerge w:val="restart"/>
            <w:vAlign w:val="center"/>
          </w:tcPr>
          <w:p w14:paraId="0A0980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298CC7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8DA8AB3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aktivity nadväzujú na východiskovú situáciu,</w:t>
            </w:r>
          </w:p>
          <w:p w14:paraId="1307AC7A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sú dostatočne zrozumiteľné a je zrejmé, čo chce žiadateľ dosiahnuť,</w:t>
            </w:r>
          </w:p>
          <w:p w14:paraId="287087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205EE40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735E2DB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</w:tcPr>
          <w:p w14:paraId="49A6D91E" w14:textId="5AD68C6A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odôvodnen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 pohľadu východiskovej situácie,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zrozumiteľne definovan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jej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realizáciou sa dosiahnu plánované ciele projektu.</w:t>
            </w:r>
          </w:p>
        </w:tc>
      </w:tr>
      <w:tr w:rsidR="00743206" w:rsidRPr="00856547" w14:paraId="132C0697" w14:textId="77777777" w:rsidTr="00856547">
        <w:trPr>
          <w:trHeight w:val="380"/>
        </w:trPr>
        <w:tc>
          <w:tcPr>
            <w:tcW w:w="275" w:type="pct"/>
            <w:vMerge/>
          </w:tcPr>
          <w:p w14:paraId="6FE618D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14:paraId="6954A46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14:paraId="6F35218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</w:tcPr>
          <w:p w14:paraId="6454CE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249336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</w:tcPr>
          <w:p w14:paraId="2CB76860" w14:textId="405CA11E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u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, ktor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nevyhnutn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743206" w:rsidRPr="00856547" w14:paraId="725ECD47" w14:textId="77777777" w:rsidTr="00856547">
        <w:tblPrEx>
          <w:tblCellMar>
            <w:left w:w="70" w:type="dxa"/>
            <w:right w:w="70" w:type="dxa"/>
          </w:tblCellMar>
        </w:tblPrEx>
        <w:trPr>
          <w:trHeight w:val="95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B058EE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8B2D3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20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3D3ED15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2DF13F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 xml:space="preserve">Miestne špecifiká sú: </w:t>
            </w:r>
          </w:p>
          <w:p w14:paraId="1B0DF1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0108EC8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4E65947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73D6AB83" w14:textId="3C9DE300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D7EA3F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4F5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B1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322DB5C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61C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D74A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0A0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CE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355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62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163106" w:rsidRPr="00856547" w14:paraId="3190C177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4B463196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5EE9272D" w14:textId="668B6E2D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žiadateľa</w:t>
            </w:r>
          </w:p>
        </w:tc>
      </w:tr>
      <w:tr w:rsidR="00743206" w:rsidRPr="00856547" w14:paraId="3D690080" w14:textId="77777777" w:rsidTr="00856547">
        <w:trPr>
          <w:trHeight w:val="138"/>
        </w:trPr>
        <w:tc>
          <w:tcPr>
            <w:tcW w:w="275" w:type="pct"/>
            <w:vMerge w:val="restart"/>
            <w:vAlign w:val="center"/>
          </w:tcPr>
          <w:p w14:paraId="195ABD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741" w:type="pct"/>
            <w:vMerge w:val="restart"/>
            <w:vAlign w:val="center"/>
          </w:tcPr>
          <w:p w14:paraId="4914BA1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640" w:type="pct"/>
            <w:vMerge w:val="restart"/>
            <w:vAlign w:val="center"/>
          </w:tcPr>
          <w:p w14:paraId="3B989F66" w14:textId="101A4E72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32" w:type="pct"/>
            <w:vMerge w:val="restart"/>
            <w:vAlign w:val="center"/>
          </w:tcPr>
          <w:p w14:paraId="1402C42F" w14:textId="29ACE5C1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492CEA6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</w:tcPr>
          <w:p w14:paraId="5B288AF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3206" w:rsidRPr="00856547" w14:paraId="7A1C4CBA" w14:textId="77777777" w:rsidTr="00856547">
        <w:trPr>
          <w:trHeight w:val="244"/>
        </w:trPr>
        <w:tc>
          <w:tcPr>
            <w:tcW w:w="275" w:type="pct"/>
            <w:vMerge/>
            <w:vAlign w:val="center"/>
          </w:tcPr>
          <w:p w14:paraId="0044FA4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1415B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36390B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DB485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33" w:type="pct"/>
            <w:vAlign w:val="center"/>
          </w:tcPr>
          <w:p w14:paraId="2177BC7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</w:tcPr>
          <w:p w14:paraId="098623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3106" w:rsidRPr="00856547" w14:paraId="066AC63E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2AB8666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7F3DF19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743206" w:rsidRPr="00856547" w14:paraId="5D227E7E" w14:textId="77777777" w:rsidTr="00743206">
        <w:trPr>
          <w:trHeight w:val="1291"/>
        </w:trPr>
        <w:tc>
          <w:tcPr>
            <w:tcW w:w="275" w:type="pct"/>
            <w:vMerge w:val="restart"/>
            <w:vAlign w:val="center"/>
          </w:tcPr>
          <w:p w14:paraId="4943E0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741" w:type="pct"/>
            <w:vMerge w:val="restart"/>
            <w:vAlign w:val="center"/>
          </w:tcPr>
          <w:p w14:paraId="4C0CA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40" w:type="pct"/>
            <w:vMerge w:val="restart"/>
            <w:vAlign w:val="center"/>
          </w:tcPr>
          <w:p w14:paraId="1B95F97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639138C7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vecne (obsahovo) oprávnené v zmysle podmienok výzvy,</w:t>
            </w:r>
          </w:p>
          <w:p w14:paraId="553C1A9C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účelné z hľadiska predpokladu naplnenia stanovených cieľov projektu,</w:t>
            </w:r>
          </w:p>
          <w:p w14:paraId="7DD5B739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nevyhnutné na realizáciu aktivít projektu</w:t>
            </w:r>
          </w:p>
          <w:p w14:paraId="0AE2FCC6" w14:textId="77777777" w:rsidR="00163106" w:rsidRPr="00856547" w:rsidRDefault="00163106" w:rsidP="005000A6">
            <w:pPr>
              <w:spacing w:after="0" w:line="240" w:lineRule="auto"/>
              <w:ind w:left="106"/>
              <w:rPr>
                <w:rFonts w:cs="Arial"/>
                <w:sz w:val="16"/>
                <w:szCs w:val="16"/>
                <w:lang w:eastAsia="sk-SK"/>
              </w:rPr>
            </w:pPr>
          </w:p>
          <w:p w14:paraId="4107DD2B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65BC9F0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102D92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F528E1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743206" w:rsidRPr="00856547" w14:paraId="2F40371A" w14:textId="77777777" w:rsidTr="00743206">
        <w:trPr>
          <w:trHeight w:val="217"/>
        </w:trPr>
        <w:tc>
          <w:tcPr>
            <w:tcW w:w="275" w:type="pct"/>
            <w:vMerge/>
            <w:vAlign w:val="center"/>
          </w:tcPr>
          <w:p w14:paraId="0F5B9C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487EE80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7993D8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DB03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918442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2FA8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743206" w:rsidRPr="00856547" w14:paraId="42FAE37E" w14:textId="77777777" w:rsidTr="00743206">
        <w:trPr>
          <w:trHeight w:val="289"/>
        </w:trPr>
        <w:tc>
          <w:tcPr>
            <w:tcW w:w="275" w:type="pct"/>
            <w:vMerge w:val="restart"/>
            <w:vAlign w:val="center"/>
          </w:tcPr>
          <w:p w14:paraId="4D8EB42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741" w:type="pct"/>
            <w:vMerge w:val="restart"/>
            <w:vAlign w:val="center"/>
          </w:tcPr>
          <w:p w14:paraId="76A19EC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640" w:type="pct"/>
            <w:vMerge w:val="restart"/>
            <w:vAlign w:val="center"/>
          </w:tcPr>
          <w:p w14:paraId="3155CA28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. či zodpovedajú obvyklým cenám v danom mieste a čase. </w:t>
            </w:r>
          </w:p>
          <w:p w14:paraId="43393679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alebo ďalších nástrojov na overenie hospodárnosti a efektívnosti výdavkov (napr. znalecký posudok).</w:t>
            </w:r>
          </w:p>
          <w:p w14:paraId="04EBA6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5F6F0226" w14:textId="77777777" w:rsidR="00163106" w:rsidRPr="00856547" w:rsidRDefault="00163106" w:rsidP="00743206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v zodpovedajúcej výške skráti.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B24C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33" w:type="pct"/>
            <w:vAlign w:val="center"/>
          </w:tcPr>
          <w:p w14:paraId="133D701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7012B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743206" w:rsidRPr="00856547" w14:paraId="454A342F" w14:textId="77777777" w:rsidTr="00743206">
        <w:trPr>
          <w:trHeight w:val="503"/>
        </w:trPr>
        <w:tc>
          <w:tcPr>
            <w:tcW w:w="275" w:type="pct"/>
            <w:vMerge/>
            <w:vAlign w:val="center"/>
          </w:tcPr>
          <w:p w14:paraId="2DF6283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770F4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2367B45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7E547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57BDB9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2BA3C8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Žiadané výdavky projektu nie sú hospodárne a efektívne, nezodpovedajú obvyklým cenám v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danom čase a mieste, nespĺňajú cieľ minimalizácie nákladov pri dodržaní požadovanej kvality výstupov.</w:t>
            </w:r>
          </w:p>
        </w:tc>
      </w:tr>
      <w:tr w:rsidR="00743206" w:rsidRPr="00856547" w14:paraId="65BC5DC0" w14:textId="77777777" w:rsidTr="00743206">
        <w:trPr>
          <w:trHeight w:val="698"/>
        </w:trPr>
        <w:tc>
          <w:tcPr>
            <w:tcW w:w="275" w:type="pct"/>
            <w:vMerge w:val="restart"/>
            <w:vAlign w:val="center"/>
          </w:tcPr>
          <w:p w14:paraId="4AC0C2D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741" w:type="pct"/>
            <w:vMerge w:val="restart"/>
            <w:vAlign w:val="center"/>
          </w:tcPr>
          <w:p w14:paraId="5FFFB52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6FD58D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6EA097B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640" w:type="pct"/>
            <w:vMerge w:val="restart"/>
            <w:vAlign w:val="center"/>
          </w:tcPr>
          <w:p w14:paraId="21EA56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615822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722F445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A5DE1ED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Altmanov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32" w:type="pct"/>
            <w:vMerge w:val="restart"/>
            <w:vAlign w:val="center"/>
          </w:tcPr>
          <w:p w14:paraId="1EB1019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0797A693" w14:textId="3256C552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E840D0">
              <w:rPr>
                <w:rFonts w:cs="Arial"/>
                <w:sz w:val="20"/>
                <w:szCs w:val="20"/>
                <w:lang w:eastAsia="sk-SK"/>
              </w:rPr>
              <w:t xml:space="preserve">1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</w:p>
        </w:tc>
        <w:tc>
          <w:tcPr>
            <w:tcW w:w="1479" w:type="pct"/>
            <w:vAlign w:val="center"/>
          </w:tcPr>
          <w:p w14:paraId="5FDE14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743206" w:rsidRPr="00856547" w14:paraId="5FD9F379" w14:textId="77777777" w:rsidTr="00743206">
        <w:trPr>
          <w:trHeight w:val="1203"/>
        </w:trPr>
        <w:tc>
          <w:tcPr>
            <w:tcW w:w="275" w:type="pct"/>
            <w:vMerge/>
            <w:vAlign w:val="center"/>
          </w:tcPr>
          <w:p w14:paraId="066581E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F35CED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E4BF57A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315232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CF2AD90" w14:textId="45DC9861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2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479" w:type="pct"/>
            <w:vAlign w:val="center"/>
          </w:tcPr>
          <w:p w14:paraId="34F96D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743206" w:rsidRPr="00856547" w14:paraId="7B164EA6" w14:textId="77777777" w:rsidTr="00743206">
        <w:trPr>
          <w:trHeight w:val="486"/>
        </w:trPr>
        <w:tc>
          <w:tcPr>
            <w:tcW w:w="275" w:type="pct"/>
            <w:vMerge/>
            <w:vAlign w:val="center"/>
          </w:tcPr>
          <w:p w14:paraId="475E620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0AE407D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90E1773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CA68E2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CA7BC1D" w14:textId="24E64B82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3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  <w:r>
              <w:rPr>
                <w:rFonts w:cs="Arial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479" w:type="pct"/>
            <w:vAlign w:val="center"/>
          </w:tcPr>
          <w:p w14:paraId="49E897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743206" w:rsidRPr="00856547" w14:paraId="143F0173" w14:textId="77777777" w:rsidTr="00743206">
        <w:trPr>
          <w:trHeight w:val="598"/>
        </w:trPr>
        <w:tc>
          <w:tcPr>
            <w:tcW w:w="275" w:type="pct"/>
            <w:vMerge w:val="restart"/>
            <w:vAlign w:val="center"/>
          </w:tcPr>
          <w:p w14:paraId="21D428F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741" w:type="pct"/>
            <w:vMerge w:val="restart"/>
            <w:vAlign w:val="center"/>
          </w:tcPr>
          <w:p w14:paraId="6333A2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EEC347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640" w:type="pct"/>
            <w:vMerge w:val="restart"/>
            <w:vAlign w:val="center"/>
          </w:tcPr>
          <w:p w14:paraId="56A5FB3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zabezpečenie udržateľnosti projektu,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38A3777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722A440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5A80A4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743206" w:rsidRPr="00856547" w14:paraId="35D0ABCD" w14:textId="77777777" w:rsidTr="00743206">
        <w:trPr>
          <w:trHeight w:val="442"/>
        </w:trPr>
        <w:tc>
          <w:tcPr>
            <w:tcW w:w="275" w:type="pct"/>
            <w:vMerge/>
            <w:vAlign w:val="center"/>
          </w:tcPr>
          <w:p w14:paraId="50275C5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110F2F7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E9D576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452EDC7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31CC971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CD7A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5125E37C" w14:textId="185FE053" w:rsidR="00AD4FD2" w:rsidRPr="00856547" w:rsidRDefault="00271771" w:rsidP="00FE6CD5">
      <w:pPr>
        <w:pStyle w:val="Textpoznmkypodiarou"/>
        <w:tabs>
          <w:tab w:val="left" w:pos="284"/>
        </w:tabs>
        <w:ind w:left="284" w:right="797" w:hanging="284"/>
        <w:jc w:val="both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 xml:space="preserve">* </w:t>
      </w:r>
      <w:r w:rsidRPr="00856547">
        <w:rPr>
          <w:rFonts w:ascii="Arial" w:hAnsi="Arial" w:cs="Arial"/>
          <w:sz w:val="16"/>
          <w:szCs w:val="16"/>
        </w:rPr>
        <w:t>FTE (</w:t>
      </w:r>
      <w:proofErr w:type="spellStart"/>
      <w:r w:rsidRPr="00856547">
        <w:rPr>
          <w:rFonts w:ascii="Arial" w:hAnsi="Arial" w:cs="Arial"/>
          <w:sz w:val="16"/>
          <w:szCs w:val="16"/>
        </w:rPr>
        <w:t>Full-time</w:t>
      </w:r>
      <w:proofErr w:type="spellEnd"/>
      <w:r w:rsidRPr="00856547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FE6CD5">
        <w:rPr>
          <w:rFonts w:ascii="Arial" w:hAnsi="Arial" w:cs="Arial"/>
          <w:sz w:val="16"/>
          <w:szCs w:val="16"/>
        </w:rPr>
        <w:t>job</w:t>
      </w:r>
      <w:proofErr w:type="spellEnd"/>
      <w:r w:rsidR="00FE6CD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56547">
        <w:rPr>
          <w:rFonts w:ascii="Arial" w:hAnsi="Arial" w:cs="Arial"/>
          <w:sz w:val="16"/>
          <w:szCs w:val="16"/>
        </w:rPr>
        <w:t>equivalent</w:t>
      </w:r>
      <w:proofErr w:type="spellEnd"/>
      <w:r w:rsidRPr="00856547">
        <w:rPr>
          <w:rFonts w:ascii="Arial" w:hAnsi="Arial" w:cs="Arial"/>
          <w:sz w:val="16"/>
          <w:szCs w:val="16"/>
        </w:rPr>
        <w:t>) predstavuje ekvivalent zamestnanca na plný pracovný úväzok. 1 FTE znamená 1</w:t>
      </w:r>
      <w:r w:rsidR="00FE6CD5">
        <w:rPr>
          <w:rFonts w:ascii="Arial" w:hAnsi="Arial" w:cs="Arial"/>
          <w:sz w:val="16"/>
          <w:szCs w:val="16"/>
        </w:rPr>
        <w:t xml:space="preserve"> zamestnanec na plný pracovný úväzok</w:t>
      </w:r>
      <w:r w:rsidRPr="00856547">
        <w:rPr>
          <w:rFonts w:ascii="Arial" w:hAnsi="Arial" w:cs="Arial"/>
          <w:sz w:val="16"/>
          <w:szCs w:val="16"/>
        </w:rPr>
        <w:t xml:space="preserve">, zvyčajne 8 hodín denne (1 FTE môže taktiež </w:t>
      </w:r>
      <w:r w:rsidR="00FE6CD5">
        <w:rPr>
          <w:rFonts w:ascii="Arial" w:hAnsi="Arial" w:cs="Arial"/>
          <w:sz w:val="16"/>
          <w:szCs w:val="16"/>
        </w:rPr>
        <w:t>dva polovičné úväzky</w:t>
      </w:r>
      <w:r w:rsidRPr="00856547">
        <w:rPr>
          <w:rFonts w:ascii="Arial" w:hAnsi="Arial" w:cs="Arial"/>
          <w:sz w:val="16"/>
          <w:szCs w:val="16"/>
        </w:rPr>
        <w:t xml:space="preserve"> zamestnancov). V prípade, ak sa pracovník stane živnostníkom nenapĺňa FTE stanovené ako mernú jednotku merateľného ukazovateľa.</w:t>
      </w:r>
    </w:p>
    <w:p w14:paraId="7688E4EE" w14:textId="77777777" w:rsidR="0005049C" w:rsidRPr="00856547" w:rsidRDefault="0005049C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p w14:paraId="23BBFCFD" w14:textId="5992F9E0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30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361"/>
        <w:gridCol w:w="1191"/>
      </w:tblGrid>
      <w:tr w:rsidR="009459EB" w:rsidRPr="00856547" w14:paraId="7E06EA27" w14:textId="77777777" w:rsidTr="0085654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856547" w14:paraId="050F6B9E" w14:textId="77777777" w:rsidTr="00856547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856547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ABDB49F" w:rsidR="009459EB" w:rsidRPr="00856547" w:rsidRDefault="00B56D1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A430C0F" w:rsidR="009459EB" w:rsidRPr="00856547" w:rsidRDefault="00B56D1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3AED37E" w:rsidR="009459EB" w:rsidRPr="00856547" w:rsidRDefault="009C5DC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6D1D" w:rsidRPr="00856547" w14:paraId="0161512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7BA3C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F1C" w14:textId="39E5A8CA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1AB" w14:textId="044872B4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6790" w14:textId="21869F22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C02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56D1D" w:rsidRPr="00856547" w14:paraId="50207B39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A51F88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91F" w14:textId="0D75731B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D08" w14:textId="57CB4D29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A2B" w14:textId="3B7F213C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91A7" w14:textId="172AC3B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B56D1D" w:rsidRPr="00856547" w14:paraId="2055B6EE" w14:textId="77777777" w:rsidTr="00856547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691BD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440" w14:textId="02316367" w:rsidR="00B56D1D" w:rsidRPr="00856547" w:rsidRDefault="00745ABB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00" w14:textId="50FCCAF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D57" w14:textId="4493931A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537E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D4D0A95" w14:textId="77777777" w:rsidTr="00856547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2130F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E492" w14:textId="7E2024AE" w:rsidR="00745ABB" w:rsidRPr="00856547" w:rsidRDefault="00745ABB" w:rsidP="00745ABB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5869" w14:textId="4C8A87B3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5D6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2207" w14:textId="7984B73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8</w:t>
            </w:r>
          </w:p>
        </w:tc>
      </w:tr>
      <w:tr w:rsidR="00745ABB" w:rsidRPr="00856547" w14:paraId="2DE9B600" w14:textId="77777777" w:rsidTr="00856547">
        <w:trPr>
          <w:trHeight w:val="2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41AA17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834" w14:textId="6F0ACA95" w:rsidR="00745ABB" w:rsidRPr="00856547" w:rsidRDefault="00745ABB" w:rsidP="00745ABB">
            <w:pPr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702E" w14:textId="1D87BBD9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84E1" w14:textId="6C7F1C51" w:rsidR="00745ABB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825B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2BE2496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E7FAE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0D35" w14:textId="4230EB95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94F" w14:textId="06EA229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83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327" w14:textId="5F3E7B7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1</w:t>
            </w:r>
          </w:p>
        </w:tc>
      </w:tr>
      <w:tr w:rsidR="00745ABB" w:rsidRPr="00856547" w14:paraId="59BE3EAE" w14:textId="77777777" w:rsidTr="00856547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C4BB8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4D2" w14:textId="48F5D38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DA8B" w14:textId="5BAEA6A1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E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085" w14:textId="563B4D4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0B2B613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4181D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002D" w14:textId="3CBFF2A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0E9" w14:textId="5CE099AE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D08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DA6C" w14:textId="2F74915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1FD5AEAA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7F2A1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B3B" w14:textId="3694D738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4783" w14:textId="547192F4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74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5D51" w14:textId="241F6CB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745ABB" w:rsidRPr="00856547" w14:paraId="148FB105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11EE6BC1" w14:textId="77777777" w:rsidTr="0085654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5E8875C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725C0D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36E4164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09697204" w14:textId="77777777" w:rsidTr="0085654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2BA6EF3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6043A0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BD0F454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2B32724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6E6F272D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45ABB" w:rsidRPr="00856547" w:rsidRDefault="00745ABB" w:rsidP="00745A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39B89E35" w14:textId="77777777" w:rsidTr="0085654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165DA90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A7C99B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EBE1EE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CEE0E35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323219A5" w14:textId="77777777" w:rsidTr="0085654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35F3BFA0" w14:textId="77777777" w:rsidTr="0085654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B45ABBD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67E748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7CF7DC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46586718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D514987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2F1A2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E1A37E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7597A4BF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6081CAB" w:rsidR="00745ABB" w:rsidRPr="00856547" w:rsidRDefault="00763767" w:rsidP="00763767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6AE0AB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5A6759E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1EB6E4E" w:rsidR="00745ABB" w:rsidRPr="00856547" w:rsidRDefault="00244D7E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763767" w:rsidRPr="00856547" w14:paraId="4D90F10B" w14:textId="77777777" w:rsidTr="00180284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E481" w14:textId="77777777" w:rsidR="00763767" w:rsidRPr="00856547" w:rsidRDefault="00763767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5EA" w14:textId="5C211A23" w:rsidR="00763767" w:rsidRPr="00856547" w:rsidRDefault="00763767" w:rsidP="00763767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85A" w14:textId="30CCEA42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8C3" w14:textId="1EE0751D" w:rsidR="00763767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241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4467D7" w:rsidRPr="00856547" w14:paraId="2947D38C" w14:textId="77777777" w:rsidTr="00180284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467D7" w:rsidRPr="00856547" w:rsidRDefault="004467D7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18CAB410" w:rsidR="004467D7" w:rsidRPr="00856547" w:rsidRDefault="004467D7" w:rsidP="004467D7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Celkový maximálny počet bodov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8A09E5C" w:rsidR="004467D7" w:rsidRPr="00856547" w:rsidRDefault="004467D7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28</w:t>
            </w:r>
          </w:p>
        </w:tc>
      </w:tr>
    </w:tbl>
    <w:p w14:paraId="438B6659" w14:textId="77777777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FF36307" w:rsidR="00340A2A" w:rsidRPr="00856547" w:rsidRDefault="00340A2A" w:rsidP="00340A2A">
      <w:pPr>
        <w:spacing w:after="120"/>
        <w:jc w:val="both"/>
        <w:rPr>
          <w:rFonts w:cs="Arial"/>
          <w:b/>
          <w:color w:val="000000" w:themeColor="text1"/>
          <w:u w:val="single"/>
        </w:rPr>
      </w:pPr>
      <w:r w:rsidRPr="00856547">
        <w:rPr>
          <w:rFonts w:cs="Arial"/>
          <w:b/>
          <w:color w:val="000000" w:themeColor="text1"/>
          <w:u w:val="single"/>
        </w:rPr>
        <w:t>Bodové kritériá musia byť splnené na minimálne 60%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, </w:t>
      </w:r>
      <w:proofErr w:type="spellStart"/>
      <w:r w:rsidR="003A3DF2" w:rsidRPr="00856547">
        <w:rPr>
          <w:rFonts w:cs="Arial"/>
          <w:b/>
          <w:color w:val="000000" w:themeColor="text1"/>
          <w:u w:val="single"/>
        </w:rPr>
        <w:t>t.j</w:t>
      </w:r>
      <w:proofErr w:type="spellEnd"/>
      <w:r w:rsidR="003A3DF2" w:rsidRPr="00856547">
        <w:rPr>
          <w:rFonts w:cs="Arial"/>
          <w:b/>
          <w:color w:val="000000" w:themeColor="text1"/>
          <w:u w:val="single"/>
        </w:rPr>
        <w:t xml:space="preserve">. </w:t>
      </w:r>
      <w:proofErr w:type="spellStart"/>
      <w:r w:rsidR="003A3DF2" w:rsidRPr="00856547">
        <w:rPr>
          <w:rFonts w:cs="Arial"/>
          <w:b/>
          <w:color w:val="000000" w:themeColor="text1"/>
          <w:u w:val="single"/>
        </w:rPr>
        <w:t>ŽoPr</w:t>
      </w:r>
      <w:proofErr w:type="spellEnd"/>
      <w:r w:rsidR="003A3DF2" w:rsidRPr="00856547">
        <w:rPr>
          <w:rFonts w:cs="Arial"/>
          <w:b/>
          <w:color w:val="000000" w:themeColor="text1"/>
          <w:u w:val="single"/>
        </w:rPr>
        <w:t xml:space="preserve"> musí získať minimálne </w:t>
      </w:r>
      <w:r w:rsidR="003270F8">
        <w:rPr>
          <w:rFonts w:cs="Arial"/>
          <w:b/>
          <w:color w:val="000000" w:themeColor="text1"/>
          <w:u w:val="single"/>
        </w:rPr>
        <w:t>17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 bodov</w:t>
      </w:r>
      <w:r w:rsidRPr="00856547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Pr="00856547" w:rsidRDefault="00AD4FD2">
      <w:pPr>
        <w:rPr>
          <w:rFonts w:cs="Arial"/>
          <w:color w:val="000000" w:themeColor="text1"/>
        </w:rPr>
      </w:pPr>
      <w:r w:rsidRPr="00856547">
        <w:rPr>
          <w:rFonts w:cs="Arial"/>
          <w:color w:val="000000" w:themeColor="text1"/>
        </w:rPr>
        <w:br w:type="page"/>
      </w:r>
    </w:p>
    <w:p w14:paraId="24226E28" w14:textId="3361A0C2" w:rsidR="00607288" w:rsidRPr="00856547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57E8B531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856547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607288" w:rsidRPr="00856547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607288" w:rsidRPr="00856547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856547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Pr="00856547">
              <w:tab/>
            </w:r>
          </w:p>
        </w:tc>
      </w:tr>
      <w:tr w:rsidR="00607288" w:rsidRPr="00856547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37D21A6" w:rsidR="00607288" w:rsidRPr="00856547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856547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5944B76" w:rsidR="00607288" w:rsidRPr="00856547" w:rsidRDefault="006D1ED9" w:rsidP="00C47E32">
            <w:pPr>
              <w:spacing w:before="120" w:after="120"/>
              <w:jc w:val="both"/>
            </w:pPr>
            <w:r w:rsidRPr="00856547">
              <w:rPr>
                <w:i/>
              </w:rPr>
              <w:t>Miestna akčná skupina Rajecká dolina</w:t>
            </w:r>
          </w:p>
        </w:tc>
      </w:tr>
      <w:tr w:rsidR="00607288" w:rsidRPr="00856547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BC7E442" w:rsidR="00607288" w:rsidRPr="00856547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856547" w:rsidRDefault="003B1FA9" w:rsidP="00A654E1">
      <w:pPr>
        <w:spacing w:before="120" w:after="120" w:line="240" w:lineRule="auto"/>
        <w:ind w:left="426"/>
        <w:jc w:val="both"/>
      </w:pPr>
      <w:r w:rsidRPr="00856547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856547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56547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 xml:space="preserve">Hodnota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Money,</w:t>
      </w:r>
    </w:p>
    <w:p w14:paraId="2A4EBC70" w14:textId="768DDD96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2BEBD37A" w:rsidR="003B1FA9" w:rsidRPr="00856547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sk-SK"/>
        </w:rPr>
      </w:pPr>
      <w:r w:rsidRPr="00856547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money</w:t>
      </w:r>
      <w:proofErr w:type="spellEnd"/>
      <w:r w:rsidRPr="00856547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856547">
        <w:rPr>
          <w:rFonts w:asciiTheme="minorHAnsi" w:hAnsiTheme="minorHAnsi"/>
          <w:lang w:val="sk-SK"/>
        </w:rPr>
        <w:t xml:space="preserve"> </w:t>
      </w:r>
      <w:r w:rsidR="004938B3" w:rsidRPr="00856547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111CA6FF" w14:textId="133F368B" w:rsidR="0086142A" w:rsidRPr="00856547" w:rsidRDefault="0086142A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05731EA2" w14:textId="41473B2E" w:rsidR="0086142A" w:rsidRPr="00856547" w:rsidRDefault="0086142A" w:rsidP="0086142A">
      <w:pPr>
        <w:spacing w:after="0"/>
        <w:jc w:val="both"/>
        <w:rPr>
          <w:b/>
          <w:bCs/>
          <w:sz w:val="24"/>
        </w:rPr>
      </w:pPr>
      <w:r w:rsidRPr="00856547">
        <w:rPr>
          <w:b/>
          <w:bCs/>
          <w:sz w:val="24"/>
        </w:rPr>
        <w:t xml:space="preserve"> </w:t>
      </w:r>
      <w:r w:rsidRPr="00856547">
        <w:rPr>
          <w:b/>
          <w:bCs/>
          <w:sz w:val="24"/>
        </w:rPr>
        <w:tab/>
      </w:r>
      <w:proofErr w:type="spellStart"/>
      <w:r w:rsidRPr="00856547">
        <w:rPr>
          <w:b/>
          <w:bCs/>
          <w:sz w:val="24"/>
        </w:rPr>
        <w:t>Value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for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money</w:t>
      </w:r>
      <w:proofErr w:type="spellEnd"/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8"/>
        <w:gridCol w:w="3727"/>
        <w:gridCol w:w="3118"/>
        <w:gridCol w:w="3651"/>
      </w:tblGrid>
      <w:tr w:rsidR="0086142A" w:rsidRPr="00856547" w14:paraId="19C84A81" w14:textId="77777777" w:rsidTr="0086142A">
        <w:tc>
          <w:tcPr>
            <w:tcW w:w="3498" w:type="dxa"/>
            <w:shd w:val="clear" w:color="auto" w:fill="9CC2E5" w:themeFill="accent1" w:themeFillTint="99"/>
          </w:tcPr>
          <w:p w14:paraId="2C6ACDE5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color w:val="FFFFFF"/>
                <w:sz w:val="24"/>
              </w:rPr>
            </w:pPr>
            <w:r w:rsidRPr="00856547">
              <w:rPr>
                <w:bCs/>
                <w:sz w:val="24"/>
              </w:rPr>
              <w:t>Hlavná aktivita</w:t>
            </w:r>
          </w:p>
        </w:tc>
        <w:tc>
          <w:tcPr>
            <w:tcW w:w="3727" w:type="dxa"/>
            <w:shd w:val="clear" w:color="auto" w:fill="9CC2E5" w:themeFill="accent1" w:themeFillTint="99"/>
          </w:tcPr>
          <w:p w14:paraId="1869A801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Ukazovateľ na úrovni projektu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85EF1BA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Merná jednotka ukazovateľa</w:t>
            </w:r>
          </w:p>
        </w:tc>
        <w:tc>
          <w:tcPr>
            <w:tcW w:w="3651" w:type="dxa"/>
            <w:shd w:val="clear" w:color="auto" w:fill="9CC2E5" w:themeFill="accent1" w:themeFillTint="99"/>
          </w:tcPr>
          <w:p w14:paraId="5D6C2B5C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Spôsob výpočtu</w:t>
            </w:r>
          </w:p>
        </w:tc>
      </w:tr>
      <w:tr w:rsidR="0086142A" w:rsidRPr="00636982" w14:paraId="74E540D0" w14:textId="77777777" w:rsidTr="0086142A">
        <w:tc>
          <w:tcPr>
            <w:tcW w:w="3498" w:type="dxa"/>
            <w:shd w:val="clear" w:color="auto" w:fill="FFFFFF" w:themeFill="background1"/>
            <w:vAlign w:val="center"/>
          </w:tcPr>
          <w:p w14:paraId="33DF07C9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A.1 Podpora podnikania a inovácií</w:t>
            </w:r>
          </w:p>
        </w:tc>
        <w:tc>
          <w:tcPr>
            <w:tcW w:w="3727" w:type="dxa"/>
            <w:shd w:val="clear" w:color="auto" w:fill="FFFFFF" w:themeFill="background1"/>
            <w:vAlign w:val="center"/>
          </w:tcPr>
          <w:p w14:paraId="0E3A8A75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A104 Počet vytvorených pracovných miest.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DE5536" w14:textId="77777777" w:rsidR="0086142A" w:rsidRPr="00856547" w:rsidRDefault="0086142A" w:rsidP="005000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FTE</w:t>
            </w:r>
          </w:p>
        </w:tc>
        <w:tc>
          <w:tcPr>
            <w:tcW w:w="3651" w:type="dxa"/>
            <w:shd w:val="clear" w:color="auto" w:fill="FFFFFF" w:themeFill="background1"/>
            <w:vAlign w:val="center"/>
          </w:tcPr>
          <w:p w14:paraId="4A77E6FC" w14:textId="77777777" w:rsidR="0086142A" w:rsidRPr="0086142A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výška príspevku v EUR na hlavnú aktivitu projektu / FTE</w:t>
            </w:r>
          </w:p>
        </w:tc>
      </w:tr>
    </w:tbl>
    <w:p w14:paraId="70E467E8" w14:textId="77777777" w:rsidR="0086142A" w:rsidRPr="00A654E1" w:rsidRDefault="0086142A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86142A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19897" w14:textId="77777777" w:rsidR="002501AF" w:rsidRDefault="002501AF" w:rsidP="006447D5">
      <w:pPr>
        <w:spacing w:after="0" w:line="240" w:lineRule="auto"/>
      </w:pPr>
      <w:r>
        <w:separator/>
      </w:r>
    </w:p>
  </w:endnote>
  <w:endnote w:type="continuationSeparator" w:id="0">
    <w:p w14:paraId="5BFE1F06" w14:textId="77777777" w:rsidR="002501AF" w:rsidRDefault="002501A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6A77166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8653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C5B57" w14:textId="77777777" w:rsidR="002501AF" w:rsidRDefault="002501AF" w:rsidP="006447D5">
      <w:pPr>
        <w:spacing w:after="0" w:line="240" w:lineRule="auto"/>
      </w:pPr>
      <w:r>
        <w:separator/>
      </w:r>
    </w:p>
  </w:footnote>
  <w:footnote w:type="continuationSeparator" w:id="0">
    <w:p w14:paraId="500F210C" w14:textId="77777777" w:rsidR="002501AF" w:rsidRDefault="002501A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696A87D" w:rsidR="00E5263D" w:rsidRPr="001F013A" w:rsidRDefault="00680BFC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1FC8BF9">
              <wp:simplePos x="0" y="0"/>
              <wp:positionH relativeFrom="column">
                <wp:posOffset>262255</wp:posOffset>
              </wp:positionH>
              <wp:positionV relativeFrom="paragraph">
                <wp:posOffset>-123825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8B97FFF" w:rsidR="00E5263D" w:rsidRPr="00CC6608" w:rsidRDefault="0029757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F701BB9" wp14:editId="3AE469FD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20.65pt;margin-top:-9.7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" filled="f" strokecolor="black [3213]" strokeweight=".25pt">
              <v:stroke joinstyle="miter"/>
              <v:textbox>
                <w:txbxContent>
                  <w:p w14:paraId="61B09CFF" w14:textId="28B97FFF" w:rsidR="00E5263D" w:rsidRPr="00CC6608" w:rsidRDefault="0029757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F701BB9" wp14:editId="3AE469FD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8F9D4E">
          <wp:simplePos x="0" y="0"/>
          <wp:positionH relativeFrom="column">
            <wp:posOffset>2538730</wp:posOffset>
          </wp:positionH>
          <wp:positionV relativeFrom="paragraph">
            <wp:posOffset>-120650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1B1463">
          <wp:simplePos x="0" y="0"/>
          <wp:positionH relativeFrom="column">
            <wp:posOffset>7725410</wp:posOffset>
          </wp:positionH>
          <wp:positionV relativeFrom="paragraph">
            <wp:posOffset>-130810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BAC8ACA" wp14:editId="256176D8">
          <wp:simplePos x="0" y="0"/>
          <wp:positionH relativeFrom="column">
            <wp:posOffset>4562475</wp:posOffset>
          </wp:positionH>
          <wp:positionV relativeFrom="paragraph">
            <wp:posOffset>-366395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B957213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971A8B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F41E935" w:rsidR="00E5263D" w:rsidRPr="00680BFC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CAC"/>
    <w:multiLevelType w:val="hybridMultilevel"/>
    <w:tmpl w:val="E3E66EEA"/>
    <w:lvl w:ilvl="0" w:tplc="7ECAAE00"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C51FD"/>
    <w:multiLevelType w:val="hybridMultilevel"/>
    <w:tmpl w:val="4ED6B7BE"/>
    <w:lvl w:ilvl="0" w:tplc="D8F4C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08171">
    <w:abstractNumId w:val="16"/>
  </w:num>
  <w:num w:numId="2" w16cid:durableId="1513955107">
    <w:abstractNumId w:val="4"/>
  </w:num>
  <w:num w:numId="3" w16cid:durableId="569510534">
    <w:abstractNumId w:val="0"/>
  </w:num>
  <w:num w:numId="4" w16cid:durableId="848377003">
    <w:abstractNumId w:val="27"/>
  </w:num>
  <w:num w:numId="5" w16cid:durableId="456069650">
    <w:abstractNumId w:val="28"/>
  </w:num>
  <w:num w:numId="6" w16cid:durableId="2027439967">
    <w:abstractNumId w:val="8"/>
  </w:num>
  <w:num w:numId="7" w16cid:durableId="111900415">
    <w:abstractNumId w:val="25"/>
  </w:num>
  <w:num w:numId="8" w16cid:durableId="128516803">
    <w:abstractNumId w:val="12"/>
  </w:num>
  <w:num w:numId="9" w16cid:durableId="1258638589">
    <w:abstractNumId w:val="13"/>
  </w:num>
  <w:num w:numId="10" w16cid:durableId="1016543532">
    <w:abstractNumId w:val="5"/>
  </w:num>
  <w:num w:numId="11" w16cid:durableId="1208376736">
    <w:abstractNumId w:val="17"/>
  </w:num>
  <w:num w:numId="12" w16cid:durableId="1727291560">
    <w:abstractNumId w:val="15"/>
  </w:num>
  <w:num w:numId="13" w16cid:durableId="1855220879">
    <w:abstractNumId w:val="24"/>
  </w:num>
  <w:num w:numId="14" w16cid:durableId="508368400">
    <w:abstractNumId w:val="20"/>
  </w:num>
  <w:num w:numId="15" w16cid:durableId="1567955414">
    <w:abstractNumId w:val="14"/>
  </w:num>
  <w:num w:numId="16" w16cid:durableId="1206329643">
    <w:abstractNumId w:val="9"/>
  </w:num>
  <w:num w:numId="17" w16cid:durableId="1404523134">
    <w:abstractNumId w:val="18"/>
  </w:num>
  <w:num w:numId="18" w16cid:durableId="310064516">
    <w:abstractNumId w:val="26"/>
  </w:num>
  <w:num w:numId="19" w16cid:durableId="14963499">
    <w:abstractNumId w:val="22"/>
  </w:num>
  <w:num w:numId="20" w16cid:durableId="739400101">
    <w:abstractNumId w:val="3"/>
  </w:num>
  <w:num w:numId="21" w16cid:durableId="1721588066">
    <w:abstractNumId w:val="2"/>
  </w:num>
  <w:num w:numId="22" w16cid:durableId="1651404776">
    <w:abstractNumId w:val="31"/>
  </w:num>
  <w:num w:numId="23" w16cid:durableId="1414544800">
    <w:abstractNumId w:val="7"/>
  </w:num>
  <w:num w:numId="24" w16cid:durableId="614365746">
    <w:abstractNumId w:val="31"/>
  </w:num>
  <w:num w:numId="25" w16cid:durableId="1238592917">
    <w:abstractNumId w:val="2"/>
  </w:num>
  <w:num w:numId="26" w16cid:durableId="119689966">
    <w:abstractNumId w:val="7"/>
  </w:num>
  <w:num w:numId="27" w16cid:durableId="1731535703">
    <w:abstractNumId w:val="6"/>
  </w:num>
  <w:num w:numId="28" w16cid:durableId="255869954">
    <w:abstractNumId w:val="23"/>
  </w:num>
  <w:num w:numId="29" w16cid:durableId="965937595">
    <w:abstractNumId w:val="21"/>
  </w:num>
  <w:num w:numId="30" w16cid:durableId="1477064406">
    <w:abstractNumId w:val="30"/>
  </w:num>
  <w:num w:numId="31" w16cid:durableId="1937403651">
    <w:abstractNumId w:val="11"/>
  </w:num>
  <w:num w:numId="32" w16cid:durableId="1639147945">
    <w:abstractNumId w:val="10"/>
  </w:num>
  <w:num w:numId="33" w16cid:durableId="953293121">
    <w:abstractNumId w:val="19"/>
  </w:num>
  <w:num w:numId="34" w16cid:durableId="886989489">
    <w:abstractNumId w:val="29"/>
  </w:num>
  <w:num w:numId="35" w16cid:durableId="1779253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49C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C40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52F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106"/>
    <w:rsid w:val="00170C4D"/>
    <w:rsid w:val="001714EF"/>
    <w:rsid w:val="001769BC"/>
    <w:rsid w:val="00180284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302"/>
    <w:rsid w:val="001B0ED2"/>
    <w:rsid w:val="001B15F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4D7E"/>
    <w:rsid w:val="002456FD"/>
    <w:rsid w:val="002501AF"/>
    <w:rsid w:val="002573C6"/>
    <w:rsid w:val="00260B63"/>
    <w:rsid w:val="00262784"/>
    <w:rsid w:val="0026684D"/>
    <w:rsid w:val="00271771"/>
    <w:rsid w:val="00271BF5"/>
    <w:rsid w:val="002741A0"/>
    <w:rsid w:val="00275CCF"/>
    <w:rsid w:val="00281453"/>
    <w:rsid w:val="0028704D"/>
    <w:rsid w:val="002942EF"/>
    <w:rsid w:val="00295AC2"/>
    <w:rsid w:val="00295F74"/>
    <w:rsid w:val="00297577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06D"/>
    <w:rsid w:val="00303C57"/>
    <w:rsid w:val="00307EB6"/>
    <w:rsid w:val="0031467F"/>
    <w:rsid w:val="0031563E"/>
    <w:rsid w:val="00322B2E"/>
    <w:rsid w:val="00325032"/>
    <w:rsid w:val="003269E1"/>
    <w:rsid w:val="003270F8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4EF2"/>
    <w:rsid w:val="0038512E"/>
    <w:rsid w:val="00386033"/>
    <w:rsid w:val="00386532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4DA3"/>
    <w:rsid w:val="003D558C"/>
    <w:rsid w:val="003D5FC2"/>
    <w:rsid w:val="003E019C"/>
    <w:rsid w:val="003E1BA7"/>
    <w:rsid w:val="003E55DE"/>
    <w:rsid w:val="003E706F"/>
    <w:rsid w:val="003F28D3"/>
    <w:rsid w:val="003F2E32"/>
    <w:rsid w:val="003F2F7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7D7"/>
    <w:rsid w:val="00447D47"/>
    <w:rsid w:val="00450852"/>
    <w:rsid w:val="00453969"/>
    <w:rsid w:val="00453E6F"/>
    <w:rsid w:val="00454BA6"/>
    <w:rsid w:val="00457071"/>
    <w:rsid w:val="00461E72"/>
    <w:rsid w:val="004627BA"/>
    <w:rsid w:val="00467B03"/>
    <w:rsid w:val="00473D27"/>
    <w:rsid w:val="004741B9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E6FB9"/>
    <w:rsid w:val="004F01E2"/>
    <w:rsid w:val="004F40BE"/>
    <w:rsid w:val="004F43AF"/>
    <w:rsid w:val="004F489B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12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5621"/>
    <w:rsid w:val="005D281E"/>
    <w:rsid w:val="005D6275"/>
    <w:rsid w:val="005E071B"/>
    <w:rsid w:val="005E5F54"/>
    <w:rsid w:val="005F092D"/>
    <w:rsid w:val="005F10A6"/>
    <w:rsid w:val="00600B81"/>
    <w:rsid w:val="00603E4C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47410"/>
    <w:rsid w:val="00656A72"/>
    <w:rsid w:val="00660495"/>
    <w:rsid w:val="006639C1"/>
    <w:rsid w:val="006666B3"/>
    <w:rsid w:val="006676D8"/>
    <w:rsid w:val="0067180D"/>
    <w:rsid w:val="0067272E"/>
    <w:rsid w:val="006753CF"/>
    <w:rsid w:val="00677B16"/>
    <w:rsid w:val="00680BFC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ED9"/>
    <w:rsid w:val="006D30E9"/>
    <w:rsid w:val="006D4CDB"/>
    <w:rsid w:val="006E19BA"/>
    <w:rsid w:val="006E2422"/>
    <w:rsid w:val="006E3736"/>
    <w:rsid w:val="006E67EF"/>
    <w:rsid w:val="006F242F"/>
    <w:rsid w:val="006F283B"/>
    <w:rsid w:val="006F33FF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206"/>
    <w:rsid w:val="00745ABB"/>
    <w:rsid w:val="00747198"/>
    <w:rsid w:val="0075185F"/>
    <w:rsid w:val="00755505"/>
    <w:rsid w:val="0076155E"/>
    <w:rsid w:val="00763767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1620F"/>
    <w:rsid w:val="00823447"/>
    <w:rsid w:val="00823E50"/>
    <w:rsid w:val="0082565A"/>
    <w:rsid w:val="008258C4"/>
    <w:rsid w:val="00827943"/>
    <w:rsid w:val="00834C41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547"/>
    <w:rsid w:val="00856918"/>
    <w:rsid w:val="00860ED1"/>
    <w:rsid w:val="0086142A"/>
    <w:rsid w:val="00877DCB"/>
    <w:rsid w:val="00881404"/>
    <w:rsid w:val="00883319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C07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741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5DC6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20B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D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0B44"/>
    <w:rsid w:val="00BF20E1"/>
    <w:rsid w:val="00C0025E"/>
    <w:rsid w:val="00C007D8"/>
    <w:rsid w:val="00C06967"/>
    <w:rsid w:val="00C06BCB"/>
    <w:rsid w:val="00C06C02"/>
    <w:rsid w:val="00C10A0C"/>
    <w:rsid w:val="00C14601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4765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7EFB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571C"/>
    <w:rsid w:val="00D43AED"/>
    <w:rsid w:val="00D46ABA"/>
    <w:rsid w:val="00D51595"/>
    <w:rsid w:val="00D51C04"/>
    <w:rsid w:val="00D54F1D"/>
    <w:rsid w:val="00D60379"/>
    <w:rsid w:val="00D604C6"/>
    <w:rsid w:val="00D620E5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4A3E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40D0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081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E6CD5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,Poznámka pod čiarou - IM,Schriftart: 9 pt,Schriftart: 10 pt,Schriftart: 8 pt,Schriftart: 8 pt Char Char Char,Char4,o,Car"/>
    <w:basedOn w:val="Normlny"/>
    <w:link w:val="TextpoznmkypodiarouChar"/>
    <w:uiPriority w:val="99"/>
    <w:qFormat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Poznámka pod čiarou - IM Char,Schriftart: 9 pt Char,Schriftart: 10 pt Char,Char4 Char,o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412C9"/>
    <w:rsid w:val="00163B11"/>
    <w:rsid w:val="00212C3B"/>
    <w:rsid w:val="00257F51"/>
    <w:rsid w:val="002D4118"/>
    <w:rsid w:val="004C6C36"/>
    <w:rsid w:val="00532B68"/>
    <w:rsid w:val="005A4146"/>
    <w:rsid w:val="005D5BC7"/>
    <w:rsid w:val="006A780E"/>
    <w:rsid w:val="006B3B1E"/>
    <w:rsid w:val="00723218"/>
    <w:rsid w:val="007B49CB"/>
    <w:rsid w:val="00835186"/>
    <w:rsid w:val="00901526"/>
    <w:rsid w:val="00934798"/>
    <w:rsid w:val="00A6746C"/>
    <w:rsid w:val="00AD089D"/>
    <w:rsid w:val="00B20F1E"/>
    <w:rsid w:val="00B874A2"/>
    <w:rsid w:val="00D2149E"/>
    <w:rsid w:val="00EA7464"/>
    <w:rsid w:val="00EB59DF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59F0F-155B-4D35-B5A3-0990166C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2023-01-21T14:37:00Z</dcterms:created>
  <dcterms:modified xsi:type="dcterms:W3CDTF">2023-02-07T09:46:00Z</dcterms:modified>
</cp:coreProperties>
</file>